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CD" w:rsidRDefault="00F32ECD" w:rsidP="00F32ECD">
      <w:pPr>
        <w:pStyle w:val="a5"/>
        <w:widowControl/>
        <w:spacing w:beforeLines="50" w:before="156" w:beforeAutospacing="0" w:afterLines="50" w:after="156" w:afterAutospacing="0" w:line="360" w:lineRule="auto"/>
        <w:ind w:leftChars="266" w:left="559"/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334</w:t>
      </w:r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《新闻与传播专业综合能力》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sz w:val="28"/>
          <w:szCs w:val="28"/>
        </w:rPr>
        <w:t>考试大纲</w:t>
      </w:r>
    </w:p>
    <w:p w:rsidR="00F32ECD" w:rsidRDefault="00F32ECD" w:rsidP="00F32ECD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1、什么是数据新闻</w:t>
      </w:r>
    </w:p>
    <w:p w:rsidR="00F32ECD" w:rsidRDefault="00F32ECD" w:rsidP="00F32ECD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2、如何制作和传播数据新闻</w:t>
      </w:r>
    </w:p>
    <w:p w:rsidR="00F32ECD" w:rsidRDefault="00F32ECD" w:rsidP="00F32ECD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3、查询和获取公开发表的数据</w:t>
      </w:r>
    </w:p>
    <w:p w:rsidR="00F32ECD" w:rsidRDefault="00F32ECD" w:rsidP="00F32ECD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4、采集未公开发表的数据</w:t>
      </w:r>
    </w:p>
    <w:p w:rsidR="00F32ECD" w:rsidRDefault="00F32ECD" w:rsidP="00F32ECD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5、编辑室里的数据分析</w:t>
      </w:r>
    </w:p>
    <w:p w:rsidR="00F32ECD" w:rsidRDefault="00F32ECD" w:rsidP="00F32ECD">
      <w:pPr>
        <w:ind w:leftChars="200" w:left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6、认识数据可视化</w:t>
      </w:r>
      <w:r>
        <w:rPr>
          <w:rFonts w:eastAsia="仿宋" w:cs="Calibri"/>
          <w:color w:val="000000"/>
          <w:sz w:val="28"/>
          <w:szCs w:val="28"/>
        </w:rPr>
        <w:t> </w:t>
      </w:r>
    </w:p>
    <w:p w:rsidR="00F32ECD" w:rsidRDefault="00F32ECD" w:rsidP="00F32ECD">
      <w:pPr>
        <w:ind w:leftChars="200" w:left="420"/>
        <w:rPr>
          <w:rFonts w:eastAsia="仿宋" w:cs="Calibri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7、如何在新闻中应用数据可视化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8、社交网络中信息传播的测量工具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9、社交网络中信息影响传播的可计算因素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10、社交网络中计算传播学的相关应用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11、社交网络上计算传播学相关研究方法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12、社交网络上计算传播学相关数据处理手段。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13、品牌传播学的理论架构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14、品牌传播战略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15、品牌传播元素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16、品牌传播手段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17、品牌传播媒介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18、受众心理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19、品牌市场周期与品牌传播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20、品牌各市场周期的传播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21、品牌传播的全球化、本土化及标准化</w:t>
      </w:r>
    </w:p>
    <w:p w:rsidR="00F32ECD" w:rsidRDefault="00F32ECD" w:rsidP="00F32ECD">
      <w:pPr>
        <w:ind w:leftChars="200" w:left="42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>22、品牌传播效果与品牌价值评估</w:t>
      </w:r>
    </w:p>
    <w:p w:rsidR="00A54064" w:rsidRPr="00F32ECD" w:rsidRDefault="00A54064"/>
    <w:sectPr w:rsidR="00A54064" w:rsidRPr="00F32E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E4" w:rsidRDefault="00AC36E4" w:rsidP="00F32ECD">
      <w:r>
        <w:separator/>
      </w:r>
    </w:p>
  </w:endnote>
  <w:endnote w:type="continuationSeparator" w:id="0">
    <w:p w:rsidR="00AC36E4" w:rsidRDefault="00AC36E4" w:rsidP="00F3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E4" w:rsidRDefault="00AC36E4" w:rsidP="00F32ECD">
      <w:r>
        <w:separator/>
      </w:r>
    </w:p>
  </w:footnote>
  <w:footnote w:type="continuationSeparator" w:id="0">
    <w:p w:rsidR="00AC36E4" w:rsidRDefault="00AC36E4" w:rsidP="00F32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42"/>
    <w:rsid w:val="007E4742"/>
    <w:rsid w:val="00A54064"/>
    <w:rsid w:val="00AC36E4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ECD"/>
    <w:rPr>
      <w:sz w:val="18"/>
      <w:szCs w:val="18"/>
    </w:rPr>
  </w:style>
  <w:style w:type="paragraph" w:styleId="a5">
    <w:name w:val="Normal (Web)"/>
    <w:basedOn w:val="a"/>
    <w:rsid w:val="00F32ECD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C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2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2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2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2ECD"/>
    <w:rPr>
      <w:sz w:val="18"/>
      <w:szCs w:val="18"/>
    </w:rPr>
  </w:style>
  <w:style w:type="paragraph" w:styleId="a5">
    <w:name w:val="Normal (Web)"/>
    <w:basedOn w:val="a"/>
    <w:rsid w:val="00F32ECD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2018-06-11T02:22:00Z</dcterms:created>
  <dcterms:modified xsi:type="dcterms:W3CDTF">2018-06-11T02:22:00Z</dcterms:modified>
</cp:coreProperties>
</file>